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C0" w:rsidRPr="008A676A" w:rsidRDefault="000F2B09" w:rsidP="000F2B09">
      <w:pPr>
        <w:jc w:val="center"/>
        <w:rPr>
          <w:rFonts w:ascii="Times New Roman" w:hAnsi="Times New Roman" w:cs="Times New Roman"/>
          <w:b/>
          <w:sz w:val="32"/>
          <w:szCs w:val="32"/>
          <w:u w:val="single"/>
        </w:rPr>
      </w:pPr>
      <w:r w:rsidRPr="008A676A">
        <w:rPr>
          <w:rFonts w:ascii="Times New Roman" w:hAnsi="Times New Roman" w:cs="Times New Roman"/>
          <w:b/>
          <w:sz w:val="32"/>
          <w:szCs w:val="32"/>
          <w:u w:val="single"/>
        </w:rPr>
        <w:t>OKC ASSP Chapter SPY Award</w:t>
      </w:r>
    </w:p>
    <w:p w:rsidR="006346F7" w:rsidRPr="006346F7" w:rsidRDefault="006346F7" w:rsidP="000F2B09">
      <w:pPr>
        <w:jc w:val="center"/>
        <w:rPr>
          <w:rFonts w:ascii="Times New Roman" w:hAnsi="Times New Roman" w:cs="Times New Roman"/>
          <w:b/>
          <w:sz w:val="28"/>
          <w:szCs w:val="28"/>
          <w:u w:val="single"/>
        </w:rPr>
      </w:pPr>
    </w:p>
    <w:p w:rsidR="000F2B09" w:rsidRDefault="000F2B09" w:rsidP="000F2B09">
      <w:pPr>
        <w:rPr>
          <w:rFonts w:ascii="Times New Roman" w:hAnsi="Times New Roman" w:cs="Times New Roman"/>
          <w:sz w:val="28"/>
          <w:szCs w:val="28"/>
        </w:rPr>
      </w:pPr>
      <w:r>
        <w:rPr>
          <w:rFonts w:ascii="Times New Roman" w:hAnsi="Times New Roman" w:cs="Times New Roman"/>
          <w:sz w:val="28"/>
          <w:szCs w:val="28"/>
        </w:rPr>
        <w:t>The OKC ASSP Chapter Safety Professional of the Year Award is open to any Chapter member in good standing at the time of the nomination</w:t>
      </w:r>
      <w:r w:rsidR="001523EB">
        <w:rPr>
          <w:rFonts w:ascii="Times New Roman" w:hAnsi="Times New Roman" w:cs="Times New Roman"/>
          <w:sz w:val="28"/>
          <w:szCs w:val="28"/>
        </w:rPr>
        <w:t xml:space="preserve"> and has been working in the SHE field for more than 5 years.  </w:t>
      </w:r>
      <w:r>
        <w:rPr>
          <w:rFonts w:ascii="Times New Roman" w:hAnsi="Times New Roman" w:cs="Times New Roman"/>
          <w:sz w:val="28"/>
          <w:szCs w:val="28"/>
        </w:rPr>
        <w:t xml:space="preserve">In order to be considered a candidate for this award, the </w:t>
      </w:r>
      <w:r w:rsidR="006346F7">
        <w:rPr>
          <w:rFonts w:ascii="Times New Roman" w:hAnsi="Times New Roman" w:cs="Times New Roman"/>
          <w:sz w:val="28"/>
          <w:szCs w:val="28"/>
        </w:rPr>
        <w:t xml:space="preserve">candidate </w:t>
      </w:r>
      <w:r>
        <w:rPr>
          <w:rFonts w:ascii="Times New Roman" w:hAnsi="Times New Roman" w:cs="Times New Roman"/>
          <w:sz w:val="28"/>
          <w:szCs w:val="28"/>
        </w:rPr>
        <w:t xml:space="preserve">must not have received this award from the </w:t>
      </w:r>
      <w:r w:rsidR="001523EB">
        <w:rPr>
          <w:rFonts w:ascii="Times New Roman" w:hAnsi="Times New Roman" w:cs="Times New Roman"/>
          <w:sz w:val="28"/>
          <w:szCs w:val="28"/>
        </w:rPr>
        <w:t xml:space="preserve">OKC ASSP Chapter </w:t>
      </w:r>
      <w:r>
        <w:rPr>
          <w:rFonts w:ascii="Times New Roman" w:hAnsi="Times New Roman" w:cs="Times New Roman"/>
          <w:sz w:val="28"/>
          <w:szCs w:val="28"/>
        </w:rPr>
        <w:t xml:space="preserve">within the past five years.  Someone either inside the Chapter or outside the Chapter can </w:t>
      </w:r>
      <w:r w:rsidR="006346F7">
        <w:rPr>
          <w:rFonts w:ascii="Times New Roman" w:hAnsi="Times New Roman" w:cs="Times New Roman"/>
          <w:sz w:val="28"/>
          <w:szCs w:val="28"/>
        </w:rPr>
        <w:t>c</w:t>
      </w:r>
      <w:r>
        <w:rPr>
          <w:rFonts w:ascii="Times New Roman" w:hAnsi="Times New Roman" w:cs="Times New Roman"/>
          <w:sz w:val="28"/>
          <w:szCs w:val="28"/>
        </w:rPr>
        <w:t xml:space="preserve">hampion the nomination process for that candidate or the candidate themselves can champion their own application.  The application process requires three letters of recommendation.  These letters could be from professional </w:t>
      </w:r>
      <w:r w:rsidR="006346F7">
        <w:rPr>
          <w:rFonts w:ascii="Times New Roman" w:hAnsi="Times New Roman" w:cs="Times New Roman"/>
          <w:sz w:val="28"/>
          <w:szCs w:val="28"/>
        </w:rPr>
        <w:t>colleagues</w:t>
      </w:r>
      <w:r>
        <w:rPr>
          <w:rFonts w:ascii="Times New Roman" w:hAnsi="Times New Roman" w:cs="Times New Roman"/>
          <w:sz w:val="28"/>
          <w:szCs w:val="28"/>
        </w:rPr>
        <w:t xml:space="preserve">, Chapter members, or others who can speak </w:t>
      </w:r>
      <w:r w:rsidR="006346F7">
        <w:rPr>
          <w:rFonts w:ascii="Times New Roman" w:hAnsi="Times New Roman" w:cs="Times New Roman"/>
          <w:sz w:val="28"/>
          <w:szCs w:val="28"/>
        </w:rPr>
        <w:t xml:space="preserve">about and highlight </w:t>
      </w:r>
      <w:r>
        <w:rPr>
          <w:rFonts w:ascii="Times New Roman" w:hAnsi="Times New Roman" w:cs="Times New Roman"/>
          <w:sz w:val="28"/>
          <w:szCs w:val="28"/>
        </w:rPr>
        <w:t xml:space="preserve">the </w:t>
      </w:r>
      <w:r w:rsidR="006346F7">
        <w:rPr>
          <w:rFonts w:ascii="Times New Roman" w:hAnsi="Times New Roman" w:cs="Times New Roman"/>
          <w:sz w:val="28"/>
          <w:szCs w:val="28"/>
        </w:rPr>
        <w:t>candidate’s</w:t>
      </w:r>
      <w:r>
        <w:rPr>
          <w:rFonts w:ascii="Times New Roman" w:hAnsi="Times New Roman" w:cs="Times New Roman"/>
          <w:sz w:val="28"/>
          <w:szCs w:val="28"/>
        </w:rPr>
        <w:t xml:space="preserve"> contribution to the SHE field.  The three letters are to be transmitted electronically to the Award Chair by the established due date.  The due dates are important because of the timing of the Regional and Society SPY deadlines.  </w:t>
      </w:r>
      <w:r w:rsidR="006346F7">
        <w:rPr>
          <w:rFonts w:ascii="Times New Roman" w:hAnsi="Times New Roman" w:cs="Times New Roman"/>
          <w:sz w:val="28"/>
          <w:szCs w:val="28"/>
        </w:rPr>
        <w:t xml:space="preserve">The letters will be forwarded onto the Selection Committee.  </w:t>
      </w:r>
    </w:p>
    <w:p w:rsidR="006346F7" w:rsidRDefault="000F2B09" w:rsidP="000F2B09">
      <w:pPr>
        <w:rPr>
          <w:rFonts w:ascii="Times New Roman" w:hAnsi="Times New Roman" w:cs="Times New Roman"/>
          <w:sz w:val="28"/>
          <w:szCs w:val="28"/>
        </w:rPr>
      </w:pPr>
      <w:r>
        <w:rPr>
          <w:rFonts w:ascii="Times New Roman" w:hAnsi="Times New Roman" w:cs="Times New Roman"/>
          <w:sz w:val="28"/>
          <w:szCs w:val="28"/>
        </w:rPr>
        <w:t>Sample SPY Calendar</w:t>
      </w:r>
    </w:p>
    <w:tbl>
      <w:tblPr>
        <w:tblStyle w:val="TableGrid"/>
        <w:tblW w:w="0" w:type="auto"/>
        <w:tblLook w:val="04A0"/>
      </w:tblPr>
      <w:tblGrid>
        <w:gridCol w:w="1596"/>
        <w:gridCol w:w="1932"/>
        <w:gridCol w:w="1980"/>
        <w:gridCol w:w="4050"/>
      </w:tblGrid>
      <w:tr w:rsidR="006346F7" w:rsidTr="006346F7">
        <w:tc>
          <w:tcPr>
            <w:tcW w:w="1596" w:type="dxa"/>
          </w:tcPr>
          <w:p w:rsidR="006346F7" w:rsidRDefault="006346F7" w:rsidP="000F2B09">
            <w:pPr>
              <w:rPr>
                <w:rFonts w:ascii="Times New Roman" w:hAnsi="Times New Roman" w:cs="Times New Roman"/>
                <w:sz w:val="28"/>
                <w:szCs w:val="28"/>
              </w:rPr>
            </w:pPr>
          </w:p>
        </w:tc>
        <w:tc>
          <w:tcPr>
            <w:tcW w:w="1932"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Deadline</w:t>
            </w:r>
          </w:p>
        </w:tc>
        <w:tc>
          <w:tcPr>
            <w:tcW w:w="1980"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Awarded</w:t>
            </w:r>
          </w:p>
        </w:tc>
        <w:tc>
          <w:tcPr>
            <w:tcW w:w="4050"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Documents</w:t>
            </w:r>
          </w:p>
        </w:tc>
      </w:tr>
      <w:tr w:rsidR="006346F7" w:rsidTr="006346F7">
        <w:tc>
          <w:tcPr>
            <w:tcW w:w="1596"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Chapter</w:t>
            </w:r>
          </w:p>
        </w:tc>
        <w:tc>
          <w:tcPr>
            <w:tcW w:w="1932"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October 2000</w:t>
            </w:r>
          </w:p>
        </w:tc>
        <w:tc>
          <w:tcPr>
            <w:tcW w:w="1980"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January 2001</w:t>
            </w:r>
          </w:p>
        </w:tc>
        <w:tc>
          <w:tcPr>
            <w:tcW w:w="4050"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Three Letters of Reference</w:t>
            </w:r>
          </w:p>
        </w:tc>
      </w:tr>
      <w:tr w:rsidR="006346F7" w:rsidTr="006346F7">
        <w:tc>
          <w:tcPr>
            <w:tcW w:w="1596"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Region III</w:t>
            </w:r>
          </w:p>
        </w:tc>
        <w:tc>
          <w:tcPr>
            <w:tcW w:w="1932"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March 2001</w:t>
            </w:r>
          </w:p>
        </w:tc>
        <w:tc>
          <w:tcPr>
            <w:tcW w:w="1980"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Region III PDC August 2001</w:t>
            </w:r>
          </w:p>
        </w:tc>
        <w:tc>
          <w:tcPr>
            <w:tcW w:w="4050"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Regional Packet</w:t>
            </w:r>
          </w:p>
        </w:tc>
      </w:tr>
      <w:tr w:rsidR="006346F7" w:rsidTr="006346F7">
        <w:tc>
          <w:tcPr>
            <w:tcW w:w="1596"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 xml:space="preserve">Society </w:t>
            </w:r>
          </w:p>
        </w:tc>
        <w:tc>
          <w:tcPr>
            <w:tcW w:w="1932"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December 2001</w:t>
            </w:r>
          </w:p>
        </w:tc>
        <w:tc>
          <w:tcPr>
            <w:tcW w:w="1980"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Society PDC June 2002</w:t>
            </w:r>
          </w:p>
        </w:tc>
        <w:tc>
          <w:tcPr>
            <w:tcW w:w="4050" w:type="dxa"/>
          </w:tcPr>
          <w:p w:rsidR="006346F7" w:rsidRDefault="006346F7" w:rsidP="000F2B09">
            <w:pPr>
              <w:rPr>
                <w:rFonts w:ascii="Times New Roman" w:hAnsi="Times New Roman" w:cs="Times New Roman"/>
                <w:sz w:val="28"/>
                <w:szCs w:val="28"/>
              </w:rPr>
            </w:pPr>
            <w:r>
              <w:rPr>
                <w:rFonts w:ascii="Times New Roman" w:hAnsi="Times New Roman" w:cs="Times New Roman"/>
                <w:sz w:val="28"/>
                <w:szCs w:val="28"/>
              </w:rPr>
              <w:t>Society Packet</w:t>
            </w:r>
          </w:p>
        </w:tc>
      </w:tr>
    </w:tbl>
    <w:p w:rsidR="000F2B09" w:rsidRDefault="000F2B09" w:rsidP="000F2B09">
      <w:pPr>
        <w:rPr>
          <w:rFonts w:ascii="Times New Roman" w:hAnsi="Times New Roman" w:cs="Times New Roman"/>
          <w:sz w:val="28"/>
          <w:szCs w:val="28"/>
        </w:rPr>
      </w:pPr>
    </w:p>
    <w:sectPr w:rsidR="000F2B09" w:rsidSect="004B1B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018" w:rsidRDefault="006E4018" w:rsidP="009B43B0">
      <w:pPr>
        <w:spacing w:after="0" w:line="240" w:lineRule="auto"/>
      </w:pPr>
      <w:r>
        <w:separator/>
      </w:r>
    </w:p>
  </w:endnote>
  <w:endnote w:type="continuationSeparator" w:id="0">
    <w:p w:rsidR="006E4018" w:rsidRDefault="006E4018" w:rsidP="009B4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B0" w:rsidRDefault="009B43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B0" w:rsidRDefault="009B43B0" w:rsidP="009B43B0">
    <w:pPr>
      <w:pStyle w:val="Footer"/>
      <w:jc w:val="center"/>
    </w:pPr>
    <w:r>
      <w:t>5/16/2018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B0" w:rsidRDefault="009B4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018" w:rsidRDefault="006E4018" w:rsidP="009B43B0">
      <w:pPr>
        <w:spacing w:after="0" w:line="240" w:lineRule="auto"/>
      </w:pPr>
      <w:r>
        <w:separator/>
      </w:r>
    </w:p>
  </w:footnote>
  <w:footnote w:type="continuationSeparator" w:id="0">
    <w:p w:rsidR="006E4018" w:rsidRDefault="006E4018" w:rsidP="009B4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B0" w:rsidRDefault="009B43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B0" w:rsidRDefault="009B43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B0" w:rsidRDefault="009B4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0EA"/>
    <w:multiLevelType w:val="hybridMultilevel"/>
    <w:tmpl w:val="DC2E8C46"/>
    <w:lvl w:ilvl="0" w:tplc="B4D012DC">
      <w:numFmt w:val="bullet"/>
      <w:lvlText w:val="-"/>
      <w:lvlJc w:val="left"/>
      <w:pPr>
        <w:ind w:left="1080" w:hanging="360"/>
      </w:pPr>
      <w:rPr>
        <w:rFonts w:ascii="Times New Roman" w:eastAsiaTheme="minorHAns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2B09"/>
    <w:rsid w:val="000F2B09"/>
    <w:rsid w:val="001523EB"/>
    <w:rsid w:val="004B1BC0"/>
    <w:rsid w:val="006346F7"/>
    <w:rsid w:val="006E4018"/>
    <w:rsid w:val="008A676A"/>
    <w:rsid w:val="009B4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09"/>
    <w:pPr>
      <w:ind w:left="720"/>
      <w:contextualSpacing/>
    </w:pPr>
  </w:style>
  <w:style w:type="table" w:styleId="TableGrid">
    <w:name w:val="Table Grid"/>
    <w:basedOn w:val="TableNormal"/>
    <w:uiPriority w:val="59"/>
    <w:rsid w:val="000F2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4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3B0"/>
  </w:style>
  <w:style w:type="paragraph" w:styleId="Footer">
    <w:name w:val="footer"/>
    <w:basedOn w:val="Normal"/>
    <w:link w:val="FooterChar"/>
    <w:uiPriority w:val="99"/>
    <w:semiHidden/>
    <w:unhideWhenUsed/>
    <w:rsid w:val="009B4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43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3</cp:revision>
  <dcterms:created xsi:type="dcterms:W3CDTF">2018-05-16T13:51:00Z</dcterms:created>
  <dcterms:modified xsi:type="dcterms:W3CDTF">2018-05-16T14:21:00Z</dcterms:modified>
</cp:coreProperties>
</file>